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77639" w14:textId="4FDBE2E1" w:rsidR="00E65881" w:rsidRDefault="00FD4330">
      <w:r>
        <w:t xml:space="preserve">Points </w:t>
      </w:r>
      <w:r w:rsidR="00086F89">
        <w:t>Relevant to Local Governments for CPUC Clean Energy Finance Proceeding:</w:t>
      </w:r>
    </w:p>
    <w:p w14:paraId="419BB817" w14:textId="19EA807E" w:rsidR="00086F89" w:rsidRPr="00086F89" w:rsidRDefault="00086F89">
      <w:pPr>
        <w:rPr>
          <w:i/>
          <w:iCs/>
        </w:rPr>
      </w:pPr>
      <w:r w:rsidRPr="00086F89">
        <w:rPr>
          <w:i/>
          <w:iCs/>
        </w:rPr>
        <w:t>Inclusive Utility Investment (TOB) and Marginal Rates</w:t>
      </w:r>
      <w:r>
        <w:rPr>
          <w:i/>
          <w:iCs/>
        </w:rPr>
        <w:t xml:space="preserve"> as Tools for Local Government Decarbonization</w:t>
      </w:r>
    </w:p>
    <w:p w14:paraId="1C72A86A" w14:textId="7B09355D" w:rsidR="00442C61" w:rsidRDefault="00442C61" w:rsidP="00E65881">
      <w:pPr>
        <w:pStyle w:val="ListParagraph"/>
        <w:numPr>
          <w:ilvl w:val="0"/>
          <w:numId w:val="2"/>
        </w:numPr>
      </w:pPr>
      <w:r>
        <w:t>Many l</w:t>
      </w:r>
      <w:r w:rsidR="00E65881">
        <w:t>ocal governments and quasi-governments (e.g., Community Choice Aggregators</w:t>
      </w:r>
      <w:r w:rsidR="00831E28">
        <w:t xml:space="preserve"> and Regional Energy Networks</w:t>
      </w:r>
      <w:r w:rsidR="00E65881">
        <w:t xml:space="preserve">) have ambitious decarbonization </w:t>
      </w:r>
      <w:r>
        <w:t xml:space="preserve">commitments. They can employ </w:t>
      </w:r>
      <w:r w:rsidR="00E65881">
        <w:t>diverse tools to drive decarbonization - while also attending to other policy objectives</w:t>
      </w:r>
      <w:r>
        <w:t xml:space="preserve"> </w:t>
      </w:r>
      <w:r w:rsidR="00E65881">
        <w:t>such as equity</w:t>
      </w:r>
      <w:r w:rsidR="00D30D6B">
        <w:t xml:space="preserve">, </w:t>
      </w:r>
      <w:proofErr w:type="gramStart"/>
      <w:r w:rsidR="00E65881">
        <w:t>affordability</w:t>
      </w:r>
      <w:proofErr w:type="gramEnd"/>
      <w:r w:rsidR="00D30D6B">
        <w:t xml:space="preserve"> and economic development</w:t>
      </w:r>
      <w:r>
        <w:t>.</w:t>
      </w:r>
      <w:r w:rsidR="00DF166B">
        <w:t xml:space="preserve"> </w:t>
      </w:r>
      <w:r w:rsidR="00B01CAF">
        <w:t>R</w:t>
      </w:r>
      <w:r w:rsidR="00DF166B">
        <w:t xml:space="preserve">oughly 35% of all carbon footprint abatement potential </w:t>
      </w:r>
      <w:r w:rsidR="00D30D6B">
        <w:t xml:space="preserve">in California </w:t>
      </w:r>
      <w:r w:rsidR="00DF166B">
        <w:t>is from activities at least partially within the control of local governments</w:t>
      </w:r>
      <w:r w:rsidR="0079644E">
        <w:rPr>
          <w:rStyle w:val="FootnoteReference"/>
        </w:rPr>
        <w:footnoteReference w:id="1"/>
      </w:r>
      <w:r w:rsidR="00DF166B">
        <w:t>.</w:t>
      </w:r>
    </w:p>
    <w:p w14:paraId="07FFAFDE" w14:textId="77777777" w:rsidR="00442C61" w:rsidRDefault="00442C61" w:rsidP="00442C61">
      <w:pPr>
        <w:pStyle w:val="ListParagraph"/>
      </w:pPr>
    </w:p>
    <w:p w14:paraId="1546AC59" w14:textId="676819C9" w:rsidR="00442C61" w:rsidRDefault="00442C61" w:rsidP="00442C61">
      <w:pPr>
        <w:pStyle w:val="ListParagraph"/>
        <w:numPr>
          <w:ilvl w:val="0"/>
          <w:numId w:val="2"/>
        </w:numPr>
      </w:pPr>
      <w:r>
        <w:t xml:space="preserve">Local governments </w:t>
      </w:r>
      <w:r w:rsidR="006A4651">
        <w:t>are</w:t>
      </w:r>
      <w:r>
        <w:t xml:space="preserve"> uniquely positioned to combine their own legislative, budgetary, and land use powers with clean energy financing to accelerate investment in decarbonization. However, they lack the utility functions necessary for inclusive utility investment</w:t>
      </w:r>
      <w:r w:rsidR="00250C32">
        <w:t xml:space="preserve">, </w:t>
      </w:r>
      <w:r w:rsidR="00F34F26">
        <w:t>a promising mechanism to mobilize capital of significant interest to many local governments</w:t>
      </w:r>
      <w:r>
        <w:t>.</w:t>
      </w:r>
      <w:r w:rsidR="00DA2339">
        <w:rPr>
          <w:rStyle w:val="FootnoteReference"/>
        </w:rPr>
        <w:footnoteReference w:id="2"/>
      </w:r>
    </w:p>
    <w:p w14:paraId="4D91692F" w14:textId="77777777" w:rsidR="00442C61" w:rsidRDefault="00442C61" w:rsidP="00442C61">
      <w:pPr>
        <w:pStyle w:val="ListParagraph"/>
      </w:pPr>
    </w:p>
    <w:p w14:paraId="2AFE7BF4" w14:textId="3535F284" w:rsidR="00D71851" w:rsidRDefault="00442C61" w:rsidP="00D71851">
      <w:pPr>
        <w:pStyle w:val="ListParagraph"/>
        <w:numPr>
          <w:ilvl w:val="0"/>
          <w:numId w:val="2"/>
        </w:numPr>
      </w:pPr>
      <w:r>
        <w:t xml:space="preserve">The Commission </w:t>
      </w:r>
      <w:r w:rsidR="00D71851">
        <w:t xml:space="preserve">can ensure local governments and CCAs can access and participate in inclusive utility investment by ensuring that utilities adopt necessary tariffs </w:t>
      </w:r>
      <w:r w:rsidR="000E6625">
        <w:t>an</w:t>
      </w:r>
      <w:r w:rsidR="00D80F45">
        <w:t xml:space="preserve">d platforms </w:t>
      </w:r>
      <w:r w:rsidR="00D71851">
        <w:t>and provide the necessary data</w:t>
      </w:r>
      <w:r w:rsidR="00257BA4">
        <w:t xml:space="preserve"> to plan, </w:t>
      </w:r>
      <w:r w:rsidR="00EA3E66">
        <w:t>design and implement</w:t>
      </w:r>
      <w:r w:rsidR="00D03F9F">
        <w:t xml:space="preserve"> inclusive financing </w:t>
      </w:r>
      <w:r w:rsidR="001825B1">
        <w:t>offerings</w:t>
      </w:r>
      <w:r w:rsidR="00D71851">
        <w:t>.</w:t>
      </w:r>
    </w:p>
    <w:p w14:paraId="586224BE" w14:textId="77777777" w:rsidR="00D71851" w:rsidRDefault="00D71851" w:rsidP="00D71851">
      <w:pPr>
        <w:pStyle w:val="ListParagraph"/>
      </w:pPr>
    </w:p>
    <w:p w14:paraId="3C9C9835" w14:textId="17FB936B" w:rsidR="00FC3217" w:rsidRDefault="00D71851" w:rsidP="00FC3217">
      <w:pPr>
        <w:pStyle w:val="ListParagraph"/>
        <w:numPr>
          <w:ilvl w:val="0"/>
          <w:numId w:val="2"/>
        </w:numPr>
      </w:pPr>
      <w:r>
        <w:t>[</w:t>
      </w:r>
      <w:r w:rsidR="00D80F45" w:rsidRPr="00D80F45">
        <w:rPr>
          <w:i/>
          <w:iCs/>
        </w:rPr>
        <w:t>specific l</w:t>
      </w:r>
      <w:r w:rsidRPr="00D80F45">
        <w:rPr>
          <w:i/>
          <w:iCs/>
        </w:rPr>
        <w:t>ocal governments and CCAs</w:t>
      </w:r>
      <w:r>
        <w:t xml:space="preserve">] support the adoption </w:t>
      </w:r>
      <w:r w:rsidR="00D80F45">
        <w:t xml:space="preserve">in California </w:t>
      </w:r>
      <w:r>
        <w:t xml:space="preserve">of inclusive utility investment as the term is used by the U.S. Department of Energy. By focusing on utility investments </w:t>
      </w:r>
      <w:r w:rsidR="00FE0072">
        <w:t xml:space="preserve">on </w:t>
      </w:r>
      <w:r>
        <w:t xml:space="preserve">upgrades </w:t>
      </w:r>
      <w:r w:rsidR="0021740F">
        <w:t xml:space="preserve">that produce bill </w:t>
      </w:r>
      <w:proofErr w:type="gramStart"/>
      <w:r w:rsidR="0021740F">
        <w:t>savings</w:t>
      </w:r>
      <w:proofErr w:type="gramEnd"/>
      <w:r w:rsidR="0021740F">
        <w:t xml:space="preserve"> </w:t>
      </w:r>
      <w:r>
        <w:t xml:space="preserve">and </w:t>
      </w:r>
      <w:r w:rsidR="00FE0072">
        <w:t xml:space="preserve">for which cost recovery </w:t>
      </w:r>
      <w:r>
        <w:t>run</w:t>
      </w:r>
      <w:r w:rsidR="00FE0072">
        <w:t>s</w:t>
      </w:r>
      <w:r>
        <w:t xml:space="preserve"> with the meter</w:t>
      </w:r>
      <w:r w:rsidR="0079577B">
        <w:t xml:space="preserve"> through successor occupants</w:t>
      </w:r>
      <w:r>
        <w:t>, this formulation can protect consumers and ratepayers and support longer-term investments.</w:t>
      </w:r>
      <w:r w:rsidR="00B87A9A">
        <w:t xml:space="preserve"> </w:t>
      </w:r>
    </w:p>
    <w:p w14:paraId="5E87EB6A" w14:textId="77777777" w:rsidR="00FC3217" w:rsidRDefault="00FC3217" w:rsidP="00FC3217">
      <w:pPr>
        <w:pStyle w:val="ListParagraph"/>
      </w:pPr>
    </w:p>
    <w:p w14:paraId="2C68C025" w14:textId="29533209" w:rsidR="00FC3217" w:rsidRDefault="00FC3217" w:rsidP="00FC3217">
      <w:pPr>
        <w:pStyle w:val="ListParagraph"/>
      </w:pPr>
      <w:r>
        <w:t xml:space="preserve">This approach is embodied in the proposal by Silicon Valley Clean Energy and TECH Clean California. </w:t>
      </w:r>
      <w:r w:rsidR="00004C2D">
        <w:t>The Commission should approve the specific tariff provisions included in that proposal and ensure that other program implementers have access to those tariff terms, at least in PG&amp;E and SCE service territories.</w:t>
      </w:r>
    </w:p>
    <w:p w14:paraId="35F17971" w14:textId="77777777" w:rsidR="00D71851" w:rsidRDefault="00D71851" w:rsidP="00D71851">
      <w:pPr>
        <w:pStyle w:val="ListParagraph"/>
      </w:pPr>
    </w:p>
    <w:p w14:paraId="27F50C0E" w14:textId="4A163A6A" w:rsidR="006A4651" w:rsidRDefault="00C77283" w:rsidP="00D71851">
      <w:pPr>
        <w:pStyle w:val="ListParagraph"/>
        <w:numPr>
          <w:ilvl w:val="0"/>
          <w:numId w:val="2"/>
        </w:numPr>
      </w:pPr>
      <w:r>
        <w:t>Inclusive utility investment is especially important because, as the name implies, it can support upgrades in a broad range of households, including those not well served by traditional financing, such as renters and</w:t>
      </w:r>
      <w:r w:rsidR="008C6AC6">
        <w:t xml:space="preserve"> those with debt or credit challenges. </w:t>
      </w:r>
      <w:r w:rsidR="009F2AFB">
        <w:t>Well-structured</w:t>
      </w:r>
      <w:r w:rsidR="008C6AC6">
        <w:t xml:space="preserve"> inclusive utility </w:t>
      </w:r>
      <w:r w:rsidR="00553CAE">
        <w:t>investment</w:t>
      </w:r>
      <w:r w:rsidR="00553CAE">
        <w:t xml:space="preserve"> </w:t>
      </w:r>
      <w:r w:rsidR="00ED5FD4">
        <w:t xml:space="preserve">can offer considerable consumer protection, not </w:t>
      </w:r>
      <w:r w:rsidR="00ED5FD4">
        <w:lastRenderedPageBreak/>
        <w:t xml:space="preserve">only by avoiding the risks of personal debt but </w:t>
      </w:r>
      <w:r w:rsidR="009566DA">
        <w:t>by utilizing</w:t>
      </w:r>
      <w:r w:rsidR="009566DA">
        <w:t xml:space="preserve"> </w:t>
      </w:r>
      <w:r w:rsidR="00985886">
        <w:t>robust mechani</w:t>
      </w:r>
      <w:r w:rsidR="00E762E0">
        <w:t xml:space="preserve">sms to </w:t>
      </w:r>
      <w:r w:rsidR="00A7315A">
        <w:t>determine which</w:t>
      </w:r>
      <w:r w:rsidR="00E762E0">
        <w:t xml:space="preserve"> projects </w:t>
      </w:r>
      <w:r w:rsidR="00A7315A">
        <w:t>will result in</w:t>
      </w:r>
      <w:r w:rsidR="00A7315A">
        <w:t xml:space="preserve"> </w:t>
      </w:r>
      <w:r w:rsidR="00E762E0">
        <w:t>net bill savings.</w:t>
      </w:r>
    </w:p>
    <w:p w14:paraId="641111DA" w14:textId="77777777" w:rsidR="006A4651" w:rsidRDefault="006A4651" w:rsidP="006A4651">
      <w:pPr>
        <w:pStyle w:val="ListParagraph"/>
      </w:pPr>
    </w:p>
    <w:p w14:paraId="0CE129E1" w14:textId="50E029A5" w:rsidR="006A4651" w:rsidRDefault="00486715" w:rsidP="00D71851">
      <w:pPr>
        <w:pStyle w:val="ListParagraph"/>
        <w:numPr>
          <w:ilvl w:val="0"/>
          <w:numId w:val="2"/>
        </w:numPr>
      </w:pPr>
      <w:r>
        <w:t>Implementers of i</w:t>
      </w:r>
      <w:r w:rsidR="005B1982">
        <w:t>nclusive utility investment</w:t>
      </w:r>
      <w:r>
        <w:t xml:space="preserve"> programs</w:t>
      </w:r>
      <w:r w:rsidR="00FC3217">
        <w:t>,</w:t>
      </w:r>
      <w:r w:rsidR="00344A6B">
        <w:t xml:space="preserve"> including</w:t>
      </w:r>
      <w:r w:rsidR="00FC3217">
        <w:t xml:space="preserve"> local governments</w:t>
      </w:r>
      <w:r w:rsidR="00344A6B">
        <w:t xml:space="preserve">, </w:t>
      </w:r>
      <w:r w:rsidR="00FC3217">
        <w:t>CCAs</w:t>
      </w:r>
      <w:r w:rsidR="00344A6B">
        <w:t xml:space="preserve"> and RENs,</w:t>
      </w:r>
      <w:r w:rsidR="00FC3217">
        <w:t xml:space="preserve"> need reasonable access to both electric and gas consumption data </w:t>
      </w:r>
      <w:r w:rsidR="006A4651">
        <w:t xml:space="preserve">so they can </w:t>
      </w:r>
      <w:r w:rsidR="00FC3217">
        <w:t>identify the buildings most suitable for inclusive utility investments that yield positive bill outcomes.</w:t>
      </w:r>
    </w:p>
    <w:p w14:paraId="4EB6D615" w14:textId="77777777" w:rsidR="006A4651" w:rsidRDefault="006A4651" w:rsidP="006A4651">
      <w:pPr>
        <w:pStyle w:val="ListParagraph"/>
      </w:pPr>
    </w:p>
    <w:p w14:paraId="39B027BE" w14:textId="5B0965DA" w:rsidR="00D71851" w:rsidRDefault="00FC3217" w:rsidP="006A4651">
      <w:pPr>
        <w:pStyle w:val="ListParagraph"/>
      </w:pPr>
      <w:r>
        <w:t xml:space="preserve">There are different mechanisms to accomplish this, and the Commission should consider </w:t>
      </w:r>
      <w:r w:rsidR="00146AB5">
        <w:t xml:space="preserve">engaging </w:t>
      </w:r>
      <w:r>
        <w:t xml:space="preserve">the TECH Clean California </w:t>
      </w:r>
      <w:r w:rsidR="00826F6C">
        <w:t>implementer, given its access to historical</w:t>
      </w:r>
      <w:r w:rsidR="006A4651">
        <w:t xml:space="preserve"> gas and electric meter data</w:t>
      </w:r>
      <w:r w:rsidR="00826F6C">
        <w:t>, or building a similar sharing structure with CCAs</w:t>
      </w:r>
      <w:r w:rsidR="006A4651">
        <w:t>.</w:t>
      </w:r>
    </w:p>
    <w:p w14:paraId="159198C3" w14:textId="77777777" w:rsidR="00075845" w:rsidRDefault="00075845" w:rsidP="006A4651">
      <w:pPr>
        <w:pStyle w:val="ListParagraph"/>
      </w:pPr>
    </w:p>
    <w:p w14:paraId="1327487E" w14:textId="47B4C4DD" w:rsidR="00D21246" w:rsidRDefault="00442C61" w:rsidP="00075845">
      <w:pPr>
        <w:pStyle w:val="ListParagraph"/>
        <w:numPr>
          <w:ilvl w:val="0"/>
          <w:numId w:val="2"/>
        </w:numPr>
      </w:pPr>
      <w:r>
        <w:t xml:space="preserve">Rate reforms </w:t>
      </w:r>
      <w:r w:rsidR="00A37589">
        <w:t>can help</w:t>
      </w:r>
      <w:r w:rsidR="006A4651">
        <w:t xml:space="preserve"> advance decarbonization goals in an equitable and effective fashion</w:t>
      </w:r>
      <w:r w:rsidR="00004C2D">
        <w:t xml:space="preserve">. [Local governments and CCAs are also dependent on utility rates approved by the Commission.] </w:t>
      </w:r>
      <w:r w:rsidR="00075845">
        <w:t>The</w:t>
      </w:r>
      <w:r w:rsidR="00D57D2D">
        <w:t xml:space="preserve"> rules and practices of rate design</w:t>
      </w:r>
      <w:r w:rsidR="00A37589">
        <w:t>,</w:t>
      </w:r>
      <w:r w:rsidR="00C43BB6">
        <w:t xml:space="preserve"> some of which were developed to address issues in the past,</w:t>
      </w:r>
      <w:r w:rsidR="00D57D2D">
        <w:t xml:space="preserve"> </w:t>
      </w:r>
      <w:r w:rsidR="00F024CE">
        <w:t>should</w:t>
      </w:r>
      <w:r w:rsidR="00A14D88">
        <w:t xml:space="preserve"> </w:t>
      </w:r>
      <w:r w:rsidR="00D57D2D">
        <w:t>reflect current policy objectives.</w:t>
      </w:r>
      <w:r w:rsidR="00075845">
        <w:t xml:space="preserve"> </w:t>
      </w:r>
      <w:r w:rsidR="00E24538">
        <w:t>Specifically, rate design approaches that focus on protecting ratepayers from fixed costs being spread over declining load are not relevant, and are indeed harmful, to the need to decarbonize through increases in load. No single rate design approach will address all challenges, however rate design that more closely allocates marginal costs to marginal increases in load should be pursued.</w:t>
      </w:r>
    </w:p>
    <w:p w14:paraId="6514B5E7" w14:textId="77777777" w:rsidR="00D21246" w:rsidRDefault="00D21246" w:rsidP="00D21246">
      <w:pPr>
        <w:pStyle w:val="ListParagraph"/>
      </w:pPr>
    </w:p>
    <w:p w14:paraId="2F0A4131" w14:textId="7D345FBA" w:rsidR="00D21246" w:rsidRDefault="00E24538" w:rsidP="00E762E0">
      <w:pPr>
        <w:pStyle w:val="ListParagraph"/>
        <w:numPr>
          <w:ilvl w:val="0"/>
          <w:numId w:val="2"/>
        </w:numPr>
      </w:pPr>
      <w:r>
        <w:t>This</w:t>
      </w:r>
      <w:r w:rsidR="00004C2D">
        <w:t xml:space="preserve"> approach </w:t>
      </w:r>
      <w:r>
        <w:t xml:space="preserve">is embodied in the </w:t>
      </w:r>
      <w:r w:rsidR="00004C2D">
        <w:t>proposed pilot</w:t>
      </w:r>
      <w:r>
        <w:t xml:space="preserve"> by </w:t>
      </w:r>
      <w:r w:rsidR="00004C2D">
        <w:t>the Local Government</w:t>
      </w:r>
      <w:r w:rsidR="00721DD9">
        <w:t xml:space="preserve"> </w:t>
      </w:r>
      <w:r w:rsidR="00004C2D">
        <w:t xml:space="preserve">Sustainable Energy Coalition (LGSEC) and Santa Barbara Clean Energy. </w:t>
      </w:r>
      <w:r w:rsidR="00721DD9">
        <w:t xml:space="preserve">The Commission should approve the marginal rate pilot </w:t>
      </w:r>
      <w:r w:rsidR="001F5A5C">
        <w:t>and allow other inclusive utility investment pilots, such as the one planned by Silicon Valley Clean Energy, to utilize a similar rate</w:t>
      </w:r>
      <w:r w:rsidR="00721DD9">
        <w:t>.</w:t>
      </w:r>
      <w:r w:rsidR="00D21246">
        <w:t xml:space="preserve"> </w:t>
      </w:r>
    </w:p>
    <w:p w14:paraId="16AF5AC4" w14:textId="545016F9" w:rsidR="00E24538" w:rsidRDefault="00E24538" w:rsidP="00D21246">
      <w:pPr>
        <w:ind w:firstLine="720"/>
      </w:pPr>
    </w:p>
    <w:sectPr w:rsidR="00E245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C115B" w14:textId="77777777" w:rsidR="00EA71D5" w:rsidRDefault="00EA71D5" w:rsidP="0079644E">
      <w:pPr>
        <w:spacing w:after="0" w:line="240" w:lineRule="auto"/>
      </w:pPr>
      <w:r>
        <w:separator/>
      </w:r>
    </w:p>
  </w:endnote>
  <w:endnote w:type="continuationSeparator" w:id="0">
    <w:p w14:paraId="5D936B0D" w14:textId="77777777" w:rsidR="00EA71D5" w:rsidRDefault="00EA71D5" w:rsidP="00796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Black">
    <w:panose1 w:val="020B0A02040204020203"/>
    <w:charset w:val="00"/>
    <w:family w:val="swiss"/>
    <w:pitch w:val="variable"/>
    <w:sig w:usb0="E00002FF" w:usb1="4000E4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07B74" w14:textId="77777777" w:rsidR="00EA71D5" w:rsidRDefault="00EA71D5" w:rsidP="0079644E">
      <w:pPr>
        <w:spacing w:after="0" w:line="240" w:lineRule="auto"/>
      </w:pPr>
      <w:r>
        <w:separator/>
      </w:r>
    </w:p>
  </w:footnote>
  <w:footnote w:type="continuationSeparator" w:id="0">
    <w:p w14:paraId="2EDB00E5" w14:textId="77777777" w:rsidR="00EA71D5" w:rsidRDefault="00EA71D5" w:rsidP="0079644E">
      <w:pPr>
        <w:spacing w:after="0" w:line="240" w:lineRule="auto"/>
      </w:pPr>
      <w:r>
        <w:continuationSeparator/>
      </w:r>
    </w:p>
  </w:footnote>
  <w:footnote w:id="1">
    <w:p w14:paraId="02789468" w14:textId="78DEE7DB" w:rsidR="0079644E" w:rsidRDefault="0079644E">
      <w:pPr>
        <w:pStyle w:val="FootnoteText"/>
      </w:pPr>
      <w:r>
        <w:rPr>
          <w:rStyle w:val="FootnoteReference"/>
        </w:rPr>
        <w:footnoteRef/>
      </w:r>
      <w:r>
        <w:t xml:space="preserve"> </w:t>
      </w:r>
      <w:r w:rsidR="00C5327A" w:rsidRPr="00C5327A">
        <w:t xml:space="preserve">Christopher M. Jones, Stephen M. Wheeler, Daniel M. </w:t>
      </w:r>
      <w:proofErr w:type="spellStart"/>
      <w:r w:rsidR="00C5327A" w:rsidRPr="00C5327A">
        <w:t>Kammen</w:t>
      </w:r>
      <w:proofErr w:type="spellEnd"/>
      <w:r w:rsidR="00C5327A" w:rsidRPr="00C5327A">
        <w:t>.</w:t>
      </w:r>
      <w:r w:rsidR="00C5327A">
        <w:t xml:space="preserve"> </w:t>
      </w:r>
      <w:hyperlink r:id="rId1" w:history="1">
        <w:r w:rsidRPr="00A86C81">
          <w:rPr>
            <w:rStyle w:val="Hyperlink"/>
          </w:rPr>
          <w:t>Carbon Footprint Planning: Quantifying Local and State Mitigation Opportunities for 700 California Cities</w:t>
        </w:r>
      </w:hyperlink>
      <w:r w:rsidR="00C5327A">
        <w:t xml:space="preserve">. </w:t>
      </w:r>
      <w:r w:rsidR="008749B3" w:rsidRPr="008749B3">
        <w:t>24 April 2018</w:t>
      </w:r>
      <w:r w:rsidR="008749B3">
        <w:t xml:space="preserve">. </w:t>
      </w:r>
    </w:p>
  </w:footnote>
  <w:footnote w:id="2">
    <w:p w14:paraId="1FB22038" w14:textId="4AEB00E9" w:rsidR="00DA2339" w:rsidRDefault="00DA2339">
      <w:pPr>
        <w:pStyle w:val="FootnoteText"/>
      </w:pPr>
      <w:r>
        <w:rPr>
          <w:rStyle w:val="FootnoteReference"/>
        </w:rPr>
        <w:footnoteRef/>
      </w:r>
      <w:r>
        <w:t xml:space="preserve"> Inclusive Utility Investment is sometimes referred to as Tariffed On-Bill Investment.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A62AE0"/>
    <w:multiLevelType w:val="hybridMultilevel"/>
    <w:tmpl w:val="3E605C8C"/>
    <w:lvl w:ilvl="0" w:tplc="5B8A143A">
      <w:start w:val="1"/>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DB45CE"/>
    <w:multiLevelType w:val="hybridMultilevel"/>
    <w:tmpl w:val="15EC61CA"/>
    <w:lvl w:ilvl="0" w:tplc="A502AC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635FC1"/>
    <w:multiLevelType w:val="hybridMultilevel"/>
    <w:tmpl w:val="5F4685D6"/>
    <w:lvl w:ilvl="0" w:tplc="E5AEEFE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5219582">
    <w:abstractNumId w:val="2"/>
  </w:num>
  <w:num w:numId="2" w16cid:durableId="2030642179">
    <w:abstractNumId w:val="1"/>
  </w:num>
  <w:num w:numId="3" w16cid:durableId="1517383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D57"/>
    <w:rsid w:val="00004C2D"/>
    <w:rsid w:val="00075845"/>
    <w:rsid w:val="00086F89"/>
    <w:rsid w:val="00097090"/>
    <w:rsid w:val="000E3F85"/>
    <w:rsid w:val="000E6625"/>
    <w:rsid w:val="00146AB5"/>
    <w:rsid w:val="00181B13"/>
    <w:rsid w:val="001825B1"/>
    <w:rsid w:val="0019261D"/>
    <w:rsid w:val="001F5A5C"/>
    <w:rsid w:val="00213181"/>
    <w:rsid w:val="0021740F"/>
    <w:rsid w:val="00247157"/>
    <w:rsid w:val="00250C32"/>
    <w:rsid w:val="00257BA4"/>
    <w:rsid w:val="00344A6B"/>
    <w:rsid w:val="004345BD"/>
    <w:rsid w:val="00442C61"/>
    <w:rsid w:val="00483FF3"/>
    <w:rsid w:val="00486715"/>
    <w:rsid w:val="00553CAE"/>
    <w:rsid w:val="005B1982"/>
    <w:rsid w:val="00647C3D"/>
    <w:rsid w:val="006A4651"/>
    <w:rsid w:val="00702562"/>
    <w:rsid w:val="00721DD9"/>
    <w:rsid w:val="0079577B"/>
    <w:rsid w:val="0079644E"/>
    <w:rsid w:val="007E72BF"/>
    <w:rsid w:val="00826F6C"/>
    <w:rsid w:val="00831E28"/>
    <w:rsid w:val="008749B3"/>
    <w:rsid w:val="008C6AC6"/>
    <w:rsid w:val="008E1D83"/>
    <w:rsid w:val="0092358D"/>
    <w:rsid w:val="00924DFB"/>
    <w:rsid w:val="009566DA"/>
    <w:rsid w:val="00985886"/>
    <w:rsid w:val="009F2AFB"/>
    <w:rsid w:val="00A14D88"/>
    <w:rsid w:val="00A37589"/>
    <w:rsid w:val="00A7315A"/>
    <w:rsid w:val="00A86C81"/>
    <w:rsid w:val="00AE296F"/>
    <w:rsid w:val="00B01CAF"/>
    <w:rsid w:val="00B14477"/>
    <w:rsid w:val="00B41788"/>
    <w:rsid w:val="00B87A9A"/>
    <w:rsid w:val="00C43BB6"/>
    <w:rsid w:val="00C5327A"/>
    <w:rsid w:val="00C60D57"/>
    <w:rsid w:val="00C67EA9"/>
    <w:rsid w:val="00C77283"/>
    <w:rsid w:val="00CE5CAE"/>
    <w:rsid w:val="00D03F9F"/>
    <w:rsid w:val="00D21246"/>
    <w:rsid w:val="00D30D6B"/>
    <w:rsid w:val="00D57D2D"/>
    <w:rsid w:val="00D71851"/>
    <w:rsid w:val="00D80F45"/>
    <w:rsid w:val="00DA2339"/>
    <w:rsid w:val="00DE0324"/>
    <w:rsid w:val="00DF166B"/>
    <w:rsid w:val="00E01901"/>
    <w:rsid w:val="00E2177F"/>
    <w:rsid w:val="00E24538"/>
    <w:rsid w:val="00E65881"/>
    <w:rsid w:val="00E762E0"/>
    <w:rsid w:val="00E852D0"/>
    <w:rsid w:val="00EA3E66"/>
    <w:rsid w:val="00EA71D5"/>
    <w:rsid w:val="00ED5FD4"/>
    <w:rsid w:val="00ED7F9A"/>
    <w:rsid w:val="00F024CE"/>
    <w:rsid w:val="00F34F26"/>
    <w:rsid w:val="00FC3217"/>
    <w:rsid w:val="00FD4330"/>
    <w:rsid w:val="00FE0072"/>
    <w:rsid w:val="0C60E189"/>
    <w:rsid w:val="0EC3448A"/>
    <w:rsid w:val="14B71080"/>
    <w:rsid w:val="15DC7CA9"/>
    <w:rsid w:val="43F285D6"/>
    <w:rsid w:val="600F5F31"/>
    <w:rsid w:val="6470773C"/>
    <w:rsid w:val="7B6D9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08F6F"/>
  <w15:chartTrackingRefBased/>
  <w15:docId w15:val="{9740641B-2C76-4153-883C-957FF6496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5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58D"/>
    <w:pPr>
      <w:ind w:left="720"/>
      <w:contextualSpacing/>
    </w:pPr>
  </w:style>
  <w:style w:type="character" w:styleId="CommentReference">
    <w:name w:val="annotation reference"/>
    <w:basedOn w:val="DefaultParagraphFont"/>
    <w:uiPriority w:val="99"/>
    <w:semiHidden/>
    <w:unhideWhenUsed/>
    <w:rsid w:val="006A4651"/>
    <w:rPr>
      <w:sz w:val="16"/>
      <w:szCs w:val="16"/>
    </w:rPr>
  </w:style>
  <w:style w:type="paragraph" w:styleId="CommentText">
    <w:name w:val="annotation text"/>
    <w:basedOn w:val="Normal"/>
    <w:link w:val="CommentTextChar"/>
    <w:uiPriority w:val="99"/>
    <w:unhideWhenUsed/>
    <w:rsid w:val="006A4651"/>
    <w:pPr>
      <w:spacing w:line="240" w:lineRule="auto"/>
    </w:pPr>
    <w:rPr>
      <w:sz w:val="20"/>
      <w:szCs w:val="20"/>
    </w:rPr>
  </w:style>
  <w:style w:type="character" w:customStyle="1" w:styleId="CommentTextChar">
    <w:name w:val="Comment Text Char"/>
    <w:basedOn w:val="DefaultParagraphFont"/>
    <w:link w:val="CommentText"/>
    <w:uiPriority w:val="99"/>
    <w:rsid w:val="006A4651"/>
    <w:rPr>
      <w:sz w:val="20"/>
      <w:szCs w:val="20"/>
    </w:rPr>
  </w:style>
  <w:style w:type="paragraph" w:styleId="CommentSubject">
    <w:name w:val="annotation subject"/>
    <w:basedOn w:val="CommentText"/>
    <w:next w:val="CommentText"/>
    <w:link w:val="CommentSubjectChar"/>
    <w:uiPriority w:val="99"/>
    <w:semiHidden/>
    <w:unhideWhenUsed/>
    <w:rsid w:val="006A4651"/>
    <w:rPr>
      <w:b/>
      <w:bCs/>
    </w:rPr>
  </w:style>
  <w:style w:type="character" w:customStyle="1" w:styleId="CommentSubjectChar">
    <w:name w:val="Comment Subject Char"/>
    <w:basedOn w:val="CommentTextChar"/>
    <w:link w:val="CommentSubject"/>
    <w:uiPriority w:val="99"/>
    <w:semiHidden/>
    <w:rsid w:val="006A4651"/>
    <w:rPr>
      <w:b/>
      <w:bCs/>
      <w:sz w:val="20"/>
      <w:szCs w:val="20"/>
    </w:rPr>
  </w:style>
  <w:style w:type="paragraph" w:styleId="FootnoteText">
    <w:name w:val="footnote text"/>
    <w:basedOn w:val="Normal"/>
    <w:link w:val="FootnoteTextChar"/>
    <w:uiPriority w:val="99"/>
    <w:semiHidden/>
    <w:unhideWhenUsed/>
    <w:rsid w:val="007964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644E"/>
    <w:rPr>
      <w:sz w:val="20"/>
      <w:szCs w:val="20"/>
    </w:rPr>
  </w:style>
  <w:style w:type="character" w:styleId="FootnoteReference">
    <w:name w:val="footnote reference"/>
    <w:basedOn w:val="DefaultParagraphFont"/>
    <w:uiPriority w:val="99"/>
    <w:semiHidden/>
    <w:unhideWhenUsed/>
    <w:rsid w:val="0079644E"/>
    <w:rPr>
      <w:vertAlign w:val="superscript"/>
    </w:rPr>
  </w:style>
  <w:style w:type="character" w:styleId="Hyperlink">
    <w:name w:val="Hyperlink"/>
    <w:basedOn w:val="DefaultParagraphFont"/>
    <w:uiPriority w:val="99"/>
    <w:unhideWhenUsed/>
    <w:rsid w:val="00A86C81"/>
    <w:rPr>
      <w:color w:val="004B64" w:themeColor="hyperlink"/>
      <w:u w:val="single"/>
    </w:rPr>
  </w:style>
  <w:style w:type="character" w:styleId="UnresolvedMention">
    <w:name w:val="Unresolved Mention"/>
    <w:basedOn w:val="DefaultParagraphFont"/>
    <w:uiPriority w:val="99"/>
    <w:semiHidden/>
    <w:unhideWhenUsed/>
    <w:rsid w:val="00A86C81"/>
    <w:rPr>
      <w:color w:val="605E5C"/>
      <w:shd w:val="clear" w:color="auto" w:fill="E1DFDD"/>
    </w:rPr>
  </w:style>
  <w:style w:type="paragraph" w:styleId="Revision">
    <w:name w:val="Revision"/>
    <w:hidden/>
    <w:uiPriority w:val="99"/>
    <w:semiHidden/>
    <w:rsid w:val="00250C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cogitatiopress.com/urbanplanning/article/view/1218" TargetMode="External"/></Relationships>
</file>

<file path=word/theme/theme1.xml><?xml version="1.0" encoding="utf-8"?>
<a:theme xmlns:a="http://schemas.openxmlformats.org/drawingml/2006/main" name="Theme2">
  <a:themeElements>
    <a:clrScheme name="Custom 44">
      <a:dk1>
        <a:srgbClr val="58595B"/>
      </a:dk1>
      <a:lt1>
        <a:sysClr val="window" lastClr="FFFFFF"/>
      </a:lt1>
      <a:dk2>
        <a:srgbClr val="004B64"/>
      </a:dk2>
      <a:lt2>
        <a:srgbClr val="F5F5F5"/>
      </a:lt2>
      <a:accent1>
        <a:srgbClr val="004B64"/>
      </a:accent1>
      <a:accent2>
        <a:srgbClr val="FF9E18"/>
      </a:accent2>
      <a:accent3>
        <a:srgbClr val="8CA8B1"/>
      </a:accent3>
      <a:accent4>
        <a:srgbClr val="B4B4B4"/>
      </a:accent4>
      <a:accent5>
        <a:srgbClr val="DFE3E4"/>
      </a:accent5>
      <a:accent6>
        <a:srgbClr val="F5F5F5"/>
      </a:accent6>
      <a:hlink>
        <a:srgbClr val="004B64"/>
      </a:hlink>
      <a:folHlink>
        <a:srgbClr val="FF9E18"/>
      </a:folHlink>
    </a:clrScheme>
    <a:fontScheme name="Custom 32">
      <a:majorFont>
        <a:latin typeface="Segoe UI Black"/>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2" id="{13147E9B-471D-41F7-9029-51D48EA2BAE8}" vid="{9739A36D-8701-4D8D-9C7E-A691722EEB8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2D7B211CE5E94D89895AD4534392A6" ma:contentTypeVersion="12" ma:contentTypeDescription="Create a new document." ma:contentTypeScope="" ma:versionID="81e75de18301a39ad652be712380dc9b">
  <xsd:schema xmlns:xsd="http://www.w3.org/2001/XMLSchema" xmlns:xs="http://www.w3.org/2001/XMLSchema" xmlns:p="http://schemas.microsoft.com/office/2006/metadata/properties" xmlns:ns2="67c746bd-c4e7-4445-90b3-3ecd071caab3" xmlns:ns3="da970cc0-9a87-48a3-911e-0be7ae0de849" targetNamespace="http://schemas.microsoft.com/office/2006/metadata/properties" ma:root="true" ma:fieldsID="c91ffed0b75244ace9b6d40e139bb889" ns2:_="" ns3:_="">
    <xsd:import namespace="67c746bd-c4e7-4445-90b3-3ecd071caab3"/>
    <xsd:import namespace="da970cc0-9a87-48a3-911e-0be7ae0de8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746bd-c4e7-4445-90b3-3ecd071caa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970cc0-9a87-48a3-911e-0be7ae0de84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A5787-1E8D-4BC9-8858-56BC620032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7CD264-5BD0-44BA-978A-CE018399A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746bd-c4e7-4445-90b3-3ecd071caab3"/>
    <ds:schemaRef ds:uri="da970cc0-9a87-48a3-911e-0be7ae0de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867C50-4F61-4FB4-B86E-3356C9429D3B}">
  <ds:schemaRefs>
    <ds:schemaRef ds:uri="http://schemas.microsoft.com/sharepoint/v3/contenttype/forms"/>
  </ds:schemaRefs>
</ds:datastoreItem>
</file>

<file path=customXml/itemProps4.xml><?xml version="1.0" encoding="utf-8"?>
<ds:datastoreItem xmlns:ds="http://schemas.openxmlformats.org/officeDocument/2006/customXml" ds:itemID="{49CF2435-83D7-48E1-939C-8DD78BB9A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605</Words>
  <Characters>3454</Characters>
  <Application>Microsoft Office Word</Application>
  <DocSecurity>0</DocSecurity>
  <Lines>28</Lines>
  <Paragraphs>8</Paragraphs>
  <ScaleCrop>false</ScaleCrop>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Voorhees</dc:creator>
  <cp:keywords/>
  <dc:description/>
  <cp:lastModifiedBy>Dylan Voorhees</cp:lastModifiedBy>
  <cp:revision>4</cp:revision>
  <dcterms:created xsi:type="dcterms:W3CDTF">2022-06-15T17:54:00Z</dcterms:created>
  <dcterms:modified xsi:type="dcterms:W3CDTF">2022-06-15T17:57:00Z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0x010100052D7B211CE5E94D89895AD4534392A6</vt:lpwstr>
  </property>
</Properties>
</file>